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7920D372" w:rsidR="009E7D0C" w:rsidRPr="00B3568A" w:rsidRDefault="00B3568A" w:rsidP="00B3568A">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LV</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sz w:val="24"/>
          <w:rFonts w:ascii="Times New Roman" w:hAnsi="Times New Roman"/>
        </w:rPr>
      </w:pPr>
      <w:r>
        <w:rPr>
          <w:sz w:val="24"/>
          <w:rFonts w:ascii="Times New Roman" w:hAnsi="Times New Roman"/>
        </w:rPr>
        <w:t xml:space="preserve">II PIELIKUMS</w:t>
      </w:r>
    </w:p>
    <w:p w14:paraId="37362007" w14:textId="6FB5EC15" w:rsidR="002648B0" w:rsidRPr="00037E7B" w:rsidRDefault="008D696E" w:rsidP="00A33695">
      <w:pPr>
        <w:jc w:val="center"/>
        <w:rPr>
          <w:sz w:val="24"/>
          <w:rFonts w:ascii="Times New Roman" w:hAnsi="Times New Roman"/>
        </w:rPr>
      </w:pPr>
      <w:r>
        <w:rPr>
          <w:sz w:val="24"/>
          <w:rFonts w:ascii="Times New Roman" w:hAnsi="Times New Roman"/>
        </w:rPr>
        <w:t xml:space="preserve">“II PIELIKUMS</w:t>
      </w:r>
    </w:p>
    <w:p w14:paraId="327777EC" w14:textId="77777777" w:rsidR="002648B0" w:rsidRPr="00037E7B" w:rsidRDefault="00D11E4C" w:rsidP="00C87CEE">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 xml:space="preserve">II DAĻA.</w:t>
      </w:r>
      <w:r>
        <w:rPr>
          <w:rFonts w:ascii="Times New Roman" w:hAnsi="Times New Roman"/>
        </w:rPr>
        <w:t xml:space="preserve"> </w:t>
      </w:r>
      <w:r>
        <w:rPr>
          <w:rFonts w:ascii="Times New Roman" w:hAnsi="Times New Roman"/>
        </w:rPr>
        <w:t xml:space="preserve">NORĀDĪJUMI SAISTĪBĀ AR VEIDNI</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 xml:space="preserve">(…)</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sz w:val="24"/>
          <w:rFonts w:ascii="Times New Roman" w:hAnsi="Times New Roman"/>
        </w:rPr>
        <w:t xml:space="preserve">9.</w:t>
      </w:r>
      <w:r>
        <w:rPr>
          <w:sz w:val="24"/>
          <w:rFonts w:ascii="Times New Roman" w:hAnsi="Times New Roman"/>
        </w:rPr>
        <w:t xml:space="preserve"> </w:t>
      </w:r>
      <w:r>
        <w:rPr>
          <w:sz w:val="24"/>
          <w:rFonts w:ascii="Times New Roman" w:hAnsi="Times New Roman"/>
        </w:rPr>
        <w:t xml:space="preserve">Tirdzniecības portfeļa un tirgus riska robežvērtības, robeža starp tirdzniecības portfeli un netirdzniecības portfeli un pārklasificēšana</w:t>
      </w:r>
      <w:bookmarkEnd w:id="5"/>
    </w:p>
    <w:p w14:paraId="1FF5D1DF" w14:textId="771ED598" w:rsidR="00A4497F" w:rsidRPr="00037E7B" w:rsidRDefault="003E6AEB" w:rsidP="00A4497F">
      <w:pPr>
        <w:pStyle w:val="Instructionsberschrift2"/>
        <w:numPr>
          <w:ilvl w:val="0"/>
          <w:numId w:val="0"/>
        </w:numPr>
        <w:ind w:left="357" w:hanging="357"/>
        <w:rPr>
          <w:sz w:val="24"/>
          <w:rFonts w:ascii="Times New Roman" w:hAnsi="Times New Roman" w:cs="Times New Roman"/>
        </w:rPr>
      </w:pPr>
      <w:bookmarkStart w:id="6" w:name="_Toc7084156"/>
      <w:bookmarkStart w:id="7" w:name="_Toc37168636"/>
      <w:bookmarkStart w:id="8" w:name="_Toc151714535"/>
      <w:r>
        <w:rPr>
          <w:sz w:val="24"/>
          <w:rFonts w:ascii="Times New Roman" w:hAnsi="Times New Roman"/>
        </w:rPr>
        <w:t xml:space="preserve">9.1.</w:t>
      </w:r>
      <w:r>
        <w:rPr>
          <w:sz w:val="24"/>
          <w:rFonts w:ascii="Times New Roman" w:hAnsi="Times New Roman"/>
        </w:rPr>
        <w:tab/>
      </w:r>
      <w:bookmarkEnd w:id="6"/>
      <w:r>
        <w:rPr>
          <w:sz w:val="24"/>
          <w:rFonts w:ascii="Times New Roman" w:hAnsi="Times New Roman"/>
        </w:rPr>
        <w:t xml:space="preserve">C 90.00 – Tirdzniecības portfeļa un tirgus riska robežvērtības</w:t>
      </w:r>
      <w:bookmarkEnd w:id="7"/>
      <w:bookmarkEnd w:id="8"/>
    </w:p>
    <w:p w14:paraId="458F8B64"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bookmarkStart w:id="9" w:name="_Toc151714536"/>
      <w:r>
        <w:rPr>
          <w:u w:val="none"/>
          <w:sz w:val="24"/>
          <w:rFonts w:ascii="Times New Roman" w:hAnsi="Times New Roman"/>
        </w:rPr>
        <w:t xml:space="preserve">9.1.1.</w:t>
      </w:r>
      <w:r>
        <w:rPr>
          <w:u w:val="none"/>
          <w:rFonts w:ascii="Times New Roman" w:hAnsi="Times New Roman"/>
        </w:rPr>
        <w:tab/>
      </w:r>
      <w:r>
        <w:rPr>
          <w:u w:val="none"/>
          <w:sz w:val="24"/>
          <w:rFonts w:ascii="Times New Roman" w:hAnsi="Times New Roman"/>
        </w:rPr>
        <w:t xml:space="preserve">Vispārīgas piezīmes</w:t>
      </w:r>
    </w:p>
    <w:p w14:paraId="2EE35BE9" w14:textId="77777777" w:rsidR="00F65FA6" w:rsidRPr="00037E7B" w:rsidRDefault="00F65FA6" w:rsidP="00F65FA6">
      <w:pPr>
        <w:pStyle w:val="InstructionsText2"/>
        <w:numPr>
          <w:ilvl w:val="0"/>
          <w:numId w:val="61"/>
        </w:numPr>
        <w:spacing w:line="259" w:lineRule="auto"/>
      </w:pPr>
      <w:r>
        <w:t xml:space="preserve">Šajā veidnē sniegtā informācija atspoguļo Regulas (ES) Nr. 575/2013 94. pantā minētā aprēķina rezultātu (izņēmums attiecībā uz maziem tirdzniecības portfeļa darījumiem) un tirgus riskam pakļauto iestādes bilances un ārpusbilances darījumu apmēru, kas aprēķināts saskaņā ar Regulas (ES) Nr. 575/2013 325.a pantu.</w:t>
      </w:r>
    </w:p>
    <w:p w14:paraId="6349D8A7"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bookmarkStart w:id="10" w:name="_Toc37168638"/>
      <w:r>
        <w:rPr>
          <w:sz w:val="24"/>
          <w:u w:val="none"/>
          <w:rFonts w:ascii="Times New Roman" w:hAnsi="Times New Roman"/>
        </w:rPr>
        <w:t xml:space="preserve">9.1.2.</w:t>
      </w:r>
      <w:r>
        <w:rPr>
          <w:sz w:val="24"/>
          <w:u w:val="none"/>
          <w:rFonts w:ascii="Times New Roman" w:hAnsi="Times New Roman"/>
        </w:rPr>
        <w:tab/>
      </w:r>
      <w:r>
        <w:rPr>
          <w:sz w:val="24"/>
          <w:u w:val="none"/>
          <w:rFonts w:ascii="Times New Roman" w:hAnsi="Times New Roman"/>
        </w:rPr>
        <w:t xml:space="preserve">Norādes par konkrētām pozīcijām</w:t>
      </w:r>
      <w:bookmarkEnd w:id="10"/>
    </w:p>
    <w:p w14:paraId="230964CC" w14:textId="77777777" w:rsidR="00F65FA6" w:rsidRPr="00037E7B" w:rsidRDefault="00F65FA6" w:rsidP="00F65FA6">
      <w:pPr>
        <w:pStyle w:val="InstructionsText2"/>
        <w:numPr>
          <w:ilvl w:val="0"/>
          <w:numId w:val="61"/>
        </w:numPr>
        <w:spacing w:line="259" w:lineRule="auto"/>
      </w:pPr>
      <w:r>
        <w:t xml:space="preserve">Regulas (ES) Nr. 575/2013 94. pantā minētā aprēķina rezultātu un informāciju par tirgus riskam pakļauto iestādes bilances un ārpusbilances darījumu apmēru, kas aprēķināts saskaņā ar Regulas (ES) Nr. 575/2013 325.a pantu, uzrāda 0010. līdz 0030. rindā atsevišķi par katra tā ceturkšņa mēneša beigām, uz kuru attiecas pārskats.</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Rinda</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Atsauces uz tiesību aktu noteikumiem un norādījumi</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0010.</w:t>
            </w:r>
          </w:p>
        </w:tc>
        <w:tc>
          <w:tcPr>
            <w:tcW w:w="7953" w:type="dxa"/>
          </w:tcPr>
          <w:p w14:paraId="35E13A17"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3. mēnesis</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Dati pārskata ceturkšņa trešā mēneša pēdējā dienā.</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w:t>
            </w:r>
          </w:p>
        </w:tc>
        <w:tc>
          <w:tcPr>
            <w:tcW w:w="7953" w:type="dxa"/>
          </w:tcPr>
          <w:p w14:paraId="76C1917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2. mēnesis</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Dati pārskata ceturkšņa otrā mēneša pēdējā dienā.</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w:t>
            </w:r>
          </w:p>
        </w:tc>
        <w:tc>
          <w:tcPr>
            <w:tcW w:w="7953" w:type="dxa"/>
          </w:tcPr>
          <w:p w14:paraId="1D4D1B3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1. mēnesis</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Dati pārskata ceturkšņa pirmā mēneša pēdējā dienā.</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Sleja</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Atsauces uz tiesību aktu noteikumiem un norādījumi</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0010.</w:t>
            </w:r>
          </w:p>
        </w:tc>
        <w:tc>
          <w:tcPr>
            <w:tcW w:w="7973" w:type="dxa"/>
          </w:tcPr>
          <w:p w14:paraId="15CE25E0"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Bilances un ārpusbilances darījumi, kas pakļauti tirgus riskam</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325.a panta 2. punkts.</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Iestādes uzrāda absolūto summu, kas atspoguļo tirgus riskam pakļautos iestāžu bilances un ārpusbilances darījumus un kas aprēķināta saskaņā ar Regulas (ES) Nr. 575/2013 325.a panta 2. punktu.</w:t>
            </w:r>
            <w:r>
              <w:rPr>
                <w:rFonts w:ascii="Times New Roman" w:hAnsi="Times New Roman"/>
              </w:rPr>
              <w:t xml:space="preserve">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0020.–0060.</w:t>
            </w:r>
          </w:p>
        </w:tc>
        <w:tc>
          <w:tcPr>
            <w:tcW w:w="7973" w:type="dxa"/>
          </w:tcPr>
          <w:p w14:paraId="3885D529"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Sadalījums pa regulatīvajiem portfeļiem</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Tirgus riskam pakļautos bilances un ārpusbilances darījumus iedala tirdzniecības portfeļa un netirdzniecības portfeļa darījumos.</w:t>
            </w:r>
            <w:r>
              <w:rPr>
                <w:rFonts w:ascii="Times New Roman" w:hAnsi="Times New Roman"/>
              </w:rPr>
              <w:t xml:space="preserve">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0020.–0040.</w:t>
            </w:r>
          </w:p>
        </w:tc>
        <w:tc>
          <w:tcPr>
            <w:tcW w:w="7973" w:type="dxa"/>
          </w:tcPr>
          <w:p w14:paraId="78FEC356"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Tirdzniecības portfelis</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Pozīcijas, kas piesaistītas tirdzniecības portfelim, kuras ir ietvertas Regulas (ES) Nr. 575/2013 325.a panta 2. punktā noteiktajā aprēķinā.</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0030.–0040.</w:t>
            </w:r>
          </w:p>
        </w:tc>
        <w:tc>
          <w:tcPr>
            <w:tcW w:w="7973" w:type="dxa"/>
          </w:tcPr>
          <w:p w14:paraId="24A21C27"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No kā:</w:t>
            </w:r>
            <w:r>
              <w:rPr>
                <w:b/>
                <w:u w:val="single"/>
                <w:rFonts w:ascii="Times New Roman" w:hAnsi="Times New Roman"/>
              </w:rPr>
              <w:t xml:space="preserve"> </w:t>
            </w:r>
            <w:r>
              <w:rPr>
                <w:b/>
                <w:u w:val="single"/>
                <w:rFonts w:ascii="Times New Roman" w:hAnsi="Times New Roman"/>
              </w:rPr>
              <w:t xml:space="preserve">Tirdzniecības portfeļa darījumi Regulas (ES) Nr. 575/2013 94. panta vajadzībām</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94. panta 3. punkts.</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Kā noteikts Regulas (ES) Nr. 575/2013 94. panta 3. punkta b) apakšpunktā, iestādes uzrāda tirgus vērtības mēneša pēdējā dienā;</w:t>
            </w:r>
            <w:r>
              <w:rPr>
                <w:rFonts w:ascii="Times New Roman" w:hAnsi="Times New Roman"/>
              </w:rPr>
              <w:t xml:space="preserve"> </w:t>
            </w:r>
            <w:r>
              <w:rPr>
                <w:rFonts w:ascii="Times New Roman" w:hAnsi="Times New Roman"/>
              </w:rPr>
              <w:t xml:space="preserve">ja tirgus vērtības nav pieejamas, uzrāda patiesās vērtības tajā pašā datumā vai, ja tirgus vērtības un patiesās vērtības konkrētajā datumā nav pieejamas, – jaunāko tirgus vērtību vai patieso vērtību.</w:t>
            </w:r>
            <w:r>
              <w:rPr>
                <w:rFonts w:ascii="Times New Roman" w:hAnsi="Times New Roman"/>
              </w:rPr>
              <w:t xml:space="preserv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w:t>
            </w:r>
          </w:p>
        </w:tc>
        <w:tc>
          <w:tcPr>
            <w:tcW w:w="7973" w:type="dxa"/>
          </w:tcPr>
          <w:p w14:paraId="21157FFD"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Kopā</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94. panta 3. punkts.</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Garo un īso pozīciju absolūto summu summē, kā noteikts Regulas (ES) Nr. 575/2013 94. panta 3. punkta c) apakšpunktā.</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0040.</w:t>
            </w:r>
          </w:p>
        </w:tc>
        <w:tc>
          <w:tcPr>
            <w:tcW w:w="7973" w:type="dxa"/>
          </w:tcPr>
          <w:p w14:paraId="59AF0468"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 no kopējiem aktīviem</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94. panta 1. punkta a) apakšpunkts.</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Tirdzniecības portfeļa darījumu apmēru Regulas (ES) Nr. 575/2013 94. panta nolūkā izsaka procentos no kopējiem aktīviem.</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0050.–0060.</w:t>
            </w:r>
          </w:p>
        </w:tc>
        <w:tc>
          <w:tcPr>
            <w:tcW w:w="7973" w:type="dxa"/>
          </w:tcPr>
          <w:p w14:paraId="59D1D775"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Netirdzniecības portfelis</w:t>
            </w:r>
            <w:r>
              <w:rPr>
                <w:b/>
                <w:u w:val="single"/>
                <w:rFonts w:ascii="Times New Roman" w:hAnsi="Times New Roman"/>
              </w:rPr>
              <w:t xml:space="preserve">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Pozīcijas, kas piesaistītas netirdzniecības portfelim, kuras ietvertas Regulas (ES) Nr. 575/2013 325.a pantā noteiktās robežvērtības aprēķinā.</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Iestādes tirgus riskam pakļautās netirdzniecības portfeļa pozīcijas uzrāda dalījumā pa pozīcijām, kuras ir pakļautas ārvalstu valūtas riskam, un pozīcijām, kuras ir pakļautas preču riskam.</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Attiecīgās summas nosaka saskaņā ar Regulas (ES) Nr. 575/2013 325.a panta 2. punkta d) un e) apakšpunktu.</w:t>
            </w:r>
            <w:r>
              <w:rPr>
                <w:rFonts w:ascii="Times New Roman" w:hAnsi="Times New Roman"/>
              </w:rPr>
              <w:t xml:space="preserve">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0070.</w:t>
            </w:r>
          </w:p>
        </w:tc>
        <w:tc>
          <w:tcPr>
            <w:tcW w:w="7973" w:type="dxa"/>
          </w:tcPr>
          <w:p w14:paraId="6D9E3BF8"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 no kopējiem aktīviem</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325.a panta 1. punkta a) apakšpunkts.</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Tirgus riskam pakļautos bilances un ārpusbilances darījumus izsaka procentos no kopējiem aktīviem.</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0080.</w:t>
            </w:r>
          </w:p>
        </w:tc>
        <w:tc>
          <w:tcPr>
            <w:tcW w:w="7973" w:type="dxa"/>
          </w:tcPr>
          <w:p w14:paraId="5907245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Aktīvi kopā</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Regulas (ES) Nr. 575/2013 94. panta 1. punkta a) apakšpunkts un 325.a panta 1. punkta a) apakšpunkts.</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sz w:val="24"/>
          <w:rFonts w:ascii="Times New Roman" w:hAnsi="Times New Roman"/>
        </w:rPr>
        <w:t xml:space="preserve">9.2. Robeža starp tirdzniecības portfeli un netirdzniecības portfeli (</w:t>
      </w:r>
      <w:r>
        <w:rPr>
          <w:sz w:val="24"/>
          <w:i/>
          <w:iCs/>
          <w:rFonts w:ascii="Times New Roman" w:hAnsi="Times New Roman"/>
        </w:rPr>
        <w:t xml:space="preserve">BOU</w:t>
      </w:r>
      <w:r>
        <w:rPr>
          <w:sz w:val="24"/>
          <w:rFonts w:ascii="Times New Roman" w:hAnsi="Times New Roman"/>
        </w:rPr>
        <w:t xml:space="preserve">)</w:t>
      </w:r>
      <w:bookmarkEnd w:id="9"/>
    </w:p>
    <w:p w14:paraId="2D9236ED" w14:textId="27F33E1C" w:rsidR="009B2CA6" w:rsidRPr="00037E7B" w:rsidRDefault="00A5627D" w:rsidP="009B2CA6">
      <w:pPr>
        <w:pStyle w:val="Instructionsberschrift2"/>
        <w:numPr>
          <w:ilvl w:val="0"/>
          <w:numId w:val="0"/>
        </w:numPr>
        <w:ind w:left="357" w:hanging="357"/>
        <w:rPr>
          <w:sz w:val="24"/>
          <w:rFonts w:ascii="Times New Roman" w:hAnsi="Times New Roman" w:cs="Times New Roman"/>
        </w:rPr>
      </w:pPr>
      <w:bookmarkStart w:id="11" w:name="_Toc151714537"/>
      <w:r>
        <w:rPr>
          <w:sz w:val="24"/>
          <w:rFonts w:ascii="Times New Roman" w:hAnsi="Times New Roman"/>
        </w:rPr>
        <w:t xml:space="preserve">9.2.1.</w:t>
      </w:r>
      <w:r>
        <w:rPr>
          <w:sz w:val="24"/>
          <w:rFonts w:ascii="Times New Roman" w:hAnsi="Times New Roman"/>
        </w:rPr>
        <w:tab/>
      </w:r>
      <w:r>
        <w:rPr>
          <w:sz w:val="24"/>
          <w:rFonts w:ascii="Times New Roman" w:hAnsi="Times New Roman"/>
        </w:rPr>
        <w:t xml:space="preserve">Vispārīgas piezīmes</w:t>
      </w:r>
      <w:bookmarkEnd w:id="11"/>
    </w:p>
    <w:p w14:paraId="5D51F5A4" w14:textId="105C86A5" w:rsidR="009B2CA6" w:rsidRPr="00037E7B" w:rsidRDefault="000B3833" w:rsidP="00660845">
      <w:pPr>
        <w:pStyle w:val="InstructionsText2"/>
        <w:numPr>
          <w:ilvl w:val="0"/>
          <w:numId w:val="0"/>
        </w:numPr>
      </w:pPr>
      <w:r>
        <w:t xml:space="preserve">209.a</w:t>
      </w:r>
      <w:r>
        <w:t xml:space="preserve"> </w:t>
      </w:r>
      <w:r>
        <w:t xml:space="preserve">Šo veidni izmanto, lai sniegtu informāciju par tirdzniecības portfeļa (</w:t>
      </w:r>
      <w:r>
        <w:rPr>
          <w:i/>
          <w:iCs/>
        </w:rPr>
        <w:t xml:space="preserve">BOU</w:t>
      </w:r>
      <w:r>
        <w:t xml:space="preserve">1) sastāvu, ņemot vērā pieņēmumus par instrumentu iekļaušanu portfeļos, kā noteikts Regulas (ES) Nr. 575/2013 104. pantā.</w:t>
      </w:r>
      <w:r>
        <w:t xml:space="preserve"> </w:t>
      </w:r>
    </w:p>
    <w:p w14:paraId="6EE2D450" w14:textId="77777777" w:rsidR="00015197" w:rsidRPr="00037E7B" w:rsidRDefault="00A5627D" w:rsidP="009B2CA6">
      <w:pPr>
        <w:pStyle w:val="Instructionsberschrift2"/>
        <w:numPr>
          <w:ilvl w:val="0"/>
          <w:numId w:val="0"/>
        </w:numPr>
        <w:ind w:left="357" w:hanging="357"/>
        <w:rPr>
          <w:sz w:val="24"/>
          <w:rFonts w:ascii="Times New Roman" w:hAnsi="Times New Roman" w:cs="Times New Roman"/>
        </w:rPr>
      </w:pPr>
      <w:bookmarkStart w:id="12" w:name="_Toc151714538"/>
      <w:r>
        <w:rPr>
          <w:sz w:val="24"/>
          <w:rFonts w:ascii="Times New Roman" w:hAnsi="Times New Roman"/>
        </w:rPr>
        <w:t xml:space="preserve">9.2.2.</w:t>
      </w:r>
      <w:r>
        <w:rPr>
          <w:rFonts w:ascii="Times New Roman" w:hAnsi="Times New Roman"/>
        </w:rPr>
        <w:tab/>
      </w:r>
      <w:r>
        <w:rPr>
          <w:sz w:val="24"/>
          <w:rFonts w:ascii="Times New Roman" w:hAnsi="Times New Roman"/>
        </w:rPr>
        <w:t xml:space="preserve">C 90.05 - Robeža:</w:t>
      </w:r>
      <w:r>
        <w:rPr>
          <w:sz w:val="24"/>
          <w:rFonts w:ascii="Times New Roman" w:hAnsi="Times New Roman"/>
        </w:rPr>
        <w:t xml:space="preserve"> </w:t>
      </w:r>
      <w:r>
        <w:rPr>
          <w:sz w:val="24"/>
          <w:rFonts w:ascii="Times New Roman" w:hAnsi="Times New Roman"/>
        </w:rPr>
        <w:t xml:space="preserve">Tirdzniecības portfelis (</w:t>
      </w:r>
      <w:r>
        <w:rPr>
          <w:sz w:val="24"/>
          <w:i/>
          <w:iCs/>
          <w:rFonts w:ascii="Times New Roman" w:hAnsi="Times New Roman"/>
        </w:rPr>
        <w:t xml:space="preserve">BOU</w:t>
      </w:r>
      <w:r>
        <w:rPr>
          <w:sz w:val="24"/>
          <w:rFonts w:ascii="Times New Roman" w:hAnsi="Times New Roman"/>
        </w:rPr>
        <w:t xml:space="preserve">1)</w:t>
      </w:r>
      <w:bookmarkEnd w:id="12"/>
    </w:p>
    <w:p w14:paraId="642D4D18" w14:textId="1B329C57" w:rsidR="00015197" w:rsidRPr="00037E7B" w:rsidRDefault="00015197" w:rsidP="009B2CA6">
      <w:pPr>
        <w:pStyle w:val="Instructionsberschrift2"/>
        <w:numPr>
          <w:ilvl w:val="0"/>
          <w:numId w:val="0"/>
        </w:numPr>
        <w:ind w:left="357" w:hanging="357"/>
        <w:rPr>
          <w:sz w:val="24"/>
          <w:rFonts w:ascii="Times New Roman" w:hAnsi="Times New Roman" w:cs="Times New Roman"/>
        </w:rPr>
      </w:pPr>
      <w:bookmarkStart w:id="13" w:name="_Toc151714539"/>
      <w:r>
        <w:rPr>
          <w:sz w:val="24"/>
          <w:rFonts w:ascii="Times New Roman" w:hAnsi="Times New Roman"/>
        </w:rPr>
        <w:t xml:space="preserve">9.2.2.1. Vispārīgas piezīmes</w:t>
      </w:r>
      <w:bookmarkEnd w:id="13"/>
    </w:p>
    <w:p w14:paraId="4E94C71F" w14:textId="73207B56" w:rsidR="00D87969" w:rsidRPr="00037E7B" w:rsidRDefault="000B3833" w:rsidP="00D53CED">
      <w:pPr>
        <w:pStyle w:val="InstructionsText2"/>
        <w:numPr>
          <w:ilvl w:val="0"/>
          <w:numId w:val="0"/>
        </w:numPr>
        <w:rPr>
          <w:noProof/>
        </w:rPr>
      </w:pPr>
      <w:r>
        <w:t xml:space="preserve">209.b</w:t>
      </w:r>
      <w:r>
        <w:t xml:space="preserve"> </w:t>
      </w:r>
      <w:r>
        <w:t xml:space="preserve">Iestādes šajā veidnē uzrāda visas pozīcijas, kas piesaistītas tirdzniecības portfelim, kā minēts Regulas (ES) Nr. 575/2013 4. panta 1. punkta 85) apakšpunktā, izņemot instrumentus un pozīcijas, kas izslēgtas no Regulas (ES) Nr. 575/2013 325.a pantā minētās robežvērtības aprēķina. Atkāpjoties no Regulas (ES) 2021/451 21. panta 1. punkta a) apakšpunkta, iestādes 0010. un 0020. rindā 0020. slejā (“Obligāti tirdzniecības portfelī”) 0130. slejā (“Tirdzniecības portfelī iekļautie instrumenti ar kompetentās iestādes apstiprinājumu:</w:t>
      </w:r>
      <w:r>
        <w:t xml:space="preserve"> </w:t>
      </w:r>
      <w:r>
        <w:t xml:space="preserve">instrumenti riska ieguldījumu fondos”) un 0140. slejā (“Citi instrumenti”) uzrāda nulli, ja to tirdzniecības portfelī nav iekļauts neviens instruments, kas atbilst attiecīgās šūnas aprakstam.</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sz w:val="24"/>
          <w:rFonts w:ascii="Times New Roman" w:hAnsi="Times New Roman" w:cs="Times New Roman"/>
        </w:rPr>
      </w:pPr>
      <w:bookmarkStart w:id="14" w:name="_Toc151714540"/>
      <w:r>
        <w:rPr>
          <w:sz w:val="24"/>
          <w:rFonts w:ascii="Times New Roman" w:hAnsi="Times New Roman"/>
        </w:rPr>
        <w:t xml:space="preserve">9.2.2.2. Norādes par konkrētām pozīcijām</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Sleja</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Atsauces uz tiesību aktu noteikumiem un norādījumi</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0010.-0150.</w:t>
            </w:r>
          </w:p>
        </w:tc>
        <w:tc>
          <w:tcPr>
            <w:tcW w:w="7813" w:type="dxa"/>
            <w:vAlign w:val="bottom"/>
          </w:tcPr>
          <w:p w14:paraId="266895B6" w14:textId="221A0953"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Tirdzniecības portfelis</w:t>
            </w:r>
            <w:r>
              <w:rPr>
                <w:b/>
                <w:u w:val="single"/>
                <w:rFonts w:ascii="Times New Roman" w:hAnsi="Times New Roman"/>
              </w:rPr>
              <w:t xml:space="preserve"> </w:t>
            </w:r>
            <w:r>
              <w:rPr>
                <w:b/>
                <w:u w:val="single"/>
                <w:rFonts w:ascii="Times New Roman" w:hAnsi="Times New Roman"/>
              </w:rPr>
              <w:t xml:space="preserve">Apkopotās pozīcijas:</w:t>
            </w:r>
            <w:r>
              <w:rPr>
                <w:b/>
                <w:u w:val="single"/>
                <w:rFonts w:ascii="Times New Roman" w:hAnsi="Times New Roman"/>
              </w:rPr>
              <w:t xml:space="preserve"> </w:t>
            </w:r>
            <w:r>
              <w:rPr>
                <w:b/>
                <w:u w:val="single"/>
                <w:rFonts w:ascii="Times New Roman" w:hAnsi="Times New Roman"/>
              </w:rPr>
              <w:t xml:space="preserve">Vērtība saskaņā ar Regulas (ES) Nr. 575/2013 325.a pantu (neto (+) pozitīva/(−) negatīva tirgus vērtība)</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 xml:space="preserve">Regulas (ES) Nr. 575/2013 4. panta 1. punkta 86) apakšpunkts, 104. pants, 325.a panta 2. punkta a) apakšpunkts.</w:t>
            </w:r>
          </w:p>
          <w:p w14:paraId="467A1E21" w14:textId="008DABF1" w:rsidR="0061609C" w:rsidRPr="00037E7B" w:rsidRDefault="0061609C" w:rsidP="00056154">
            <w:pPr>
              <w:pStyle w:val="BodyText"/>
              <w:spacing w:before="120" w:after="120"/>
              <w:rPr>
                <w:rFonts w:ascii="Times New Roman" w:hAnsi="Times New Roman" w:cs="Times New Roman"/>
              </w:rPr>
            </w:pPr>
            <w:r>
              <w:t xml:space="preserve">Iestādes atsevišķi uzrāda informāciju par apkopotajām garajām pozīcijām un apkopotajām īsajām pozīcijām.</w:t>
            </w:r>
            <w:r>
              <w:t xml:space="preserve"> </w:t>
            </w:r>
            <w:r>
              <w:t xml:space="preserve">Tās nosaka apkopotās garās (īsās) pozīcijas vērtību saskaņā ar Regulas (ES) Nr. 575/2013 325.a panta 2. punktu ar šādu atkāpi:</w:t>
            </w:r>
            <w:r>
              <w:t xml:space="preserve"> </w:t>
            </w:r>
            <w:r>
              <w:t xml:space="preserve">Ja apkopotās garās (īsās) pozīcijas vērtība atbilst neto pozitīvai tirgus vērtībai, šajā veidnē uzrāda pozitīvu vērtību;</w:t>
            </w:r>
            <w:r>
              <w:t xml:space="preserve"> </w:t>
            </w:r>
            <w:r>
              <w:t xml:space="preserve">ja apkopotās garās (īsās) pozīcijas vērtība atbilst neto negatīvai tirgus vērtībai, uzrāda negatīvu vērtību.</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0010.</w:t>
            </w:r>
          </w:p>
        </w:tc>
        <w:tc>
          <w:tcPr>
            <w:tcW w:w="7813" w:type="dxa"/>
            <w:vAlign w:val="bottom"/>
          </w:tcPr>
          <w:p w14:paraId="3A5B9DDA" w14:textId="7548675F"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Apkopotās pozīcijas, tostarp:</w:t>
            </w:r>
            <w:r>
              <w:rPr>
                <w:b/>
                <w:u w:val="single"/>
                <w:rFonts w:ascii="Times New Roman" w:hAnsi="Times New Roman"/>
              </w:rPr>
              <w:t xml:space="preserve"> </w:t>
            </w:r>
            <w:r>
              <w:rPr>
                <w:b/>
                <w:u w:val="single"/>
                <w:rFonts w:ascii="Times New Roman" w:hAnsi="Times New Roman"/>
              </w:rPr>
              <w:t xml:space="preserve">ārvalstu valūtā</w:t>
            </w:r>
          </w:p>
          <w:p w14:paraId="67C375D5" w14:textId="58B41269"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Šajā slejā uzrāda instrumentus, ja tie ir denominēti valūtā, kas nav pārskata sniegšanas valūta, ja to pamatā esošais instruments ir šādā valūtā vai ja pamatā ir ārvalstu valūtas pozīcija.</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0020.–0120.</w:t>
            </w:r>
          </w:p>
        </w:tc>
        <w:tc>
          <w:tcPr>
            <w:tcW w:w="7813" w:type="dxa"/>
            <w:vAlign w:val="bottom"/>
          </w:tcPr>
          <w:p w14:paraId="7817D847" w14:textId="2DFC160D"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Apkopotās pozīcijas — Obligāti tirdzniecības portfelī</w:t>
            </w:r>
          </w:p>
          <w:p w14:paraId="45D126DC" w14:textId="42024198"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Ja instruments atbilst vairāk nekā vienam nosacījumam iekļaušanai tirdzniecības portfelī, iestādes to uzrāda slejā, ko tās uzskata par vispiemērotāko, no 0030. līdz 0120. slejai.</w:t>
            </w:r>
            <w:r>
              <w:rPr>
                <w:rFonts w:ascii="Times New Roman" w:hAnsi="Times New Roman"/>
              </w:rPr>
              <w:t xml:space="preserve"> </w:t>
            </w:r>
            <w:r>
              <w:rPr>
                <w:rFonts w:ascii="Times New Roman" w:hAnsi="Times New Roman"/>
              </w:rPr>
              <w:t xml:space="preserve">Instrumentus, kas saskaņā ar grāmatvedības regulējumu klasificēti kā tirdzniecības nolūkā, uzrāda 0120. slejā tikai tad, ja tos nevar iedalīt nevienā no 0030. līdz 0110. slejai.</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0020.</w:t>
            </w:r>
          </w:p>
        </w:tc>
        <w:tc>
          <w:tcPr>
            <w:tcW w:w="7813" w:type="dxa"/>
            <w:vAlign w:val="bottom"/>
          </w:tcPr>
          <w:p w14:paraId="76886CFB"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Obligāti tirdzniecības portfelī</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0030.</w:t>
            </w:r>
          </w:p>
        </w:tc>
        <w:tc>
          <w:tcPr>
            <w:tcW w:w="7813" w:type="dxa"/>
          </w:tcPr>
          <w:p w14:paraId="5A39CA9E"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Instrumenti </w:t>
            </w:r>
            <w:r>
              <w:rPr>
                <w:b/>
                <w:u w:val="single"/>
                <w:i/>
                <w:iCs/>
                <w:rFonts w:ascii="Times New Roman" w:hAnsi="Times New Roman"/>
              </w:rPr>
              <w:t xml:space="preserve">ACTP</w:t>
            </w:r>
          </w:p>
          <w:p w14:paraId="761EFC0B"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a) apakšpunkts</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0040.</w:t>
            </w:r>
          </w:p>
        </w:tc>
        <w:tc>
          <w:tcPr>
            <w:tcW w:w="7813" w:type="dxa"/>
          </w:tcPr>
          <w:p w14:paraId="201BF48F"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Instrumenti, kas banku portfelī radītu neto īso kredīta vai kapitāla vērtspapīru pozīciju</w:t>
            </w:r>
          </w:p>
          <w:p w14:paraId="6B81D801"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b) apakšpunkts</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0050.</w:t>
            </w:r>
          </w:p>
        </w:tc>
        <w:tc>
          <w:tcPr>
            <w:tcW w:w="7813" w:type="dxa"/>
          </w:tcPr>
          <w:p w14:paraId="58BDB0D5"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Instrumenti, kas izriet no vērtspapīru sākotnējās izvietošanas saistībām</w:t>
            </w:r>
          </w:p>
          <w:p w14:paraId="0035AEDA"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c) apakšpunkts</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0060.</w:t>
            </w:r>
          </w:p>
        </w:tc>
        <w:tc>
          <w:tcPr>
            <w:tcW w:w="7813" w:type="dxa"/>
          </w:tcPr>
          <w:p w14:paraId="319EF2D9"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Instrumenti, kas izriet no tirgus uzturēšanas darbībām</w:t>
            </w:r>
          </w:p>
          <w:p w14:paraId="39D72E39"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e) apakšpunkts</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0070.</w:t>
            </w:r>
          </w:p>
        </w:tc>
        <w:tc>
          <w:tcPr>
            <w:tcW w:w="7813" w:type="dxa"/>
          </w:tcPr>
          <w:p w14:paraId="11B16F63"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KIU</w:t>
            </w:r>
          </w:p>
          <w:p w14:paraId="5F0ADDDD"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f) apakšpunkts</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0080.</w:t>
            </w:r>
          </w:p>
        </w:tc>
        <w:tc>
          <w:tcPr>
            <w:tcW w:w="7813" w:type="dxa"/>
          </w:tcPr>
          <w:p w14:paraId="6968C5A8"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Biržā tirgoti kapitāla instrumenti</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Regulas (ES) 575/2013 104. panta 2. punkta pirmās daļas g) apakšpunkts</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0090.</w:t>
            </w:r>
          </w:p>
        </w:tc>
        <w:tc>
          <w:tcPr>
            <w:tcW w:w="7813" w:type="dxa"/>
          </w:tcPr>
          <w:p w14:paraId="6387D715"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Ar tirdzniecību saistīti VFD</w:t>
            </w:r>
          </w:p>
          <w:p w14:paraId="6D53378A"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575/2013 104. panta 2. punkta pirmās daļas h) apakšpunkts</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0100.</w:t>
            </w:r>
          </w:p>
        </w:tc>
        <w:tc>
          <w:tcPr>
            <w:tcW w:w="7813" w:type="dxa"/>
          </w:tcPr>
          <w:p w14:paraId="5611CE5C"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Iespējas līgumi vai citi atvasinātie instrumenti, kas iegulti iestādes pašu saistībās (sadalījumā)</w:t>
            </w:r>
          </w:p>
          <w:p w14:paraId="0426719F"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Nr. 575/2013 104. panta 2. punkta pirmās daļas i) apakšpunkts un trešā daļ.</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0110.</w:t>
            </w:r>
          </w:p>
        </w:tc>
        <w:tc>
          <w:tcPr>
            <w:tcW w:w="7813" w:type="dxa"/>
          </w:tcPr>
          <w:p w14:paraId="3F7AFD3A"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Iestādes pašu saistības ar iegultiem iespējas līgumiem vai citi atvasinātie instrumenti (nedalīti)</w:t>
            </w:r>
          </w:p>
          <w:p w14:paraId="6C5173C2"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Nr. 575/2013 104. panta 2. punkta pirmās daļas i) apakšpunkts un ceturtā daļa</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0120.</w:t>
            </w:r>
          </w:p>
        </w:tc>
        <w:tc>
          <w:tcPr>
            <w:tcW w:w="7813" w:type="dxa"/>
          </w:tcPr>
          <w:p w14:paraId="04C4E6C0"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Instrumenti, kas saskaņā ar grāmatvedības regulējumu klasificēti kā tādi, kuriem ir tirdzniecības mērķis (nav iekļauti iepriekšējās slejās)</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Regulas (ES) Nr. 575/2013 104. panta 2. punkta pirmās daļas d) apakšpunkts</w:t>
            </w:r>
          </w:p>
          <w:p w14:paraId="5674D9E6" w14:textId="3DAB8DFF"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Instrumentus, kas saskaņā ar grāmatvedības regulējumu klasificēti kā tādi, kuriem ir tirdzniecības mērķis, šajā slejā uzrāda tikai tad, ja tie vēl nav uzrādīti 0030. līdz 0110. slejā.</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w:t>
            </w:r>
            <w:r>
              <w:rPr>
                <w:rFonts w:ascii="Times New Roman" w:hAnsi="Times New Roman"/>
              </w:rPr>
              <w:t xml:space="preserve"> </w:t>
            </w:r>
          </w:p>
        </w:tc>
        <w:tc>
          <w:tcPr>
            <w:tcW w:w="7813" w:type="dxa"/>
          </w:tcPr>
          <w:p w14:paraId="1958765E" w14:textId="79733BFC"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Apkopotās pozīcijas — Tirdzniecības portfelī iekļautie instrumenti ar kompetentās iestādes apstiprinājumu:</w:t>
            </w:r>
            <w:r>
              <w:rPr>
                <w:b/>
                <w:u w:val="single"/>
                <w:rFonts w:ascii="Times New Roman" w:hAnsi="Times New Roman"/>
              </w:rPr>
              <w:t xml:space="preserve"> </w:t>
            </w:r>
            <w:r>
              <w:rPr>
                <w:b/>
                <w:u w:val="single"/>
                <w:rFonts w:ascii="Times New Roman" w:hAnsi="Times New Roman"/>
              </w:rPr>
              <w:t xml:space="preserve">instrumenti riska ieguldījumu fondos</w:t>
            </w:r>
          </w:p>
          <w:p w14:paraId="71C1AC7E"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Nr. 575/2013 104. panta 4.a punkts</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0140.-0150.</w:t>
            </w:r>
          </w:p>
        </w:tc>
        <w:tc>
          <w:tcPr>
            <w:tcW w:w="7813" w:type="dxa"/>
          </w:tcPr>
          <w:p w14:paraId="592DBEC6" w14:textId="54D13645"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Apkopotās pozīcijas— citi instrumenti</w:t>
            </w:r>
          </w:p>
          <w:p w14:paraId="4AFCA133" w14:textId="3CC0563A"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Šajā slejā uzrāda instrumentus, ja tie ir piesaistīti tirdzniecības portfelim saskaņā ar Regulas (ES) Nr. 575/2013 4. panta 1. punkta 85) apakšpunktu un nav uzrādīti nevienā no 0020. līdz 0130. slejai.</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0140.</w:t>
            </w:r>
          </w:p>
        </w:tc>
        <w:tc>
          <w:tcPr>
            <w:tcW w:w="7813" w:type="dxa"/>
          </w:tcPr>
          <w:p w14:paraId="38EE7871"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Citi instrumenti</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0150.</w:t>
            </w:r>
          </w:p>
        </w:tc>
        <w:tc>
          <w:tcPr>
            <w:tcW w:w="7813" w:type="dxa"/>
          </w:tcPr>
          <w:p w14:paraId="27213E71"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Citi instrumenti, tostarp:</w:t>
            </w:r>
            <w:r>
              <w:rPr>
                <w:b/>
                <w:u w:val="single"/>
                <w:rFonts w:ascii="Times New Roman" w:hAnsi="Times New Roman"/>
              </w:rPr>
              <w:t xml:space="preserve"> </w:t>
            </w:r>
            <w:r>
              <w:rPr>
                <w:b/>
                <w:u w:val="single"/>
                <w:rFonts w:ascii="Times New Roman" w:hAnsi="Times New Roman"/>
              </w:rPr>
              <w:t xml:space="preserve">Instrumenti tirdzniecības portfelī, jo trūkst pierādījumu klasificēšanai netirdzniecības portfelī</w:t>
            </w:r>
          </w:p>
          <w:p w14:paraId="41653FFB"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Regulas (ES) Nr. 575/2013 104. panta 6. punkta otrais teikums</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Rinda</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Atsauces uz tiesību aktu noteikumiem un norādījumi</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 xml:space="preserve">0010.–0020.</w:t>
            </w:r>
          </w:p>
        </w:tc>
        <w:tc>
          <w:tcPr>
            <w:tcW w:w="7813" w:type="dxa"/>
            <w:vAlign w:val="bottom"/>
          </w:tcPr>
          <w:p w14:paraId="0C31E542" w14:textId="7FD81BBC" w:rsidR="009C1D1D" w:rsidRPr="00037E7B" w:rsidRDefault="00A17954">
            <w:pPr>
              <w:pStyle w:val="BodyText"/>
              <w:spacing w:before="120" w:after="120"/>
              <w:rPr>
                <w:b/>
                <w:u w:val="single"/>
                <w:rFonts w:ascii="Times New Roman" w:hAnsi="Times New Roman" w:cs="Times New Roman"/>
              </w:rPr>
            </w:pPr>
            <w:r>
              <w:rPr>
                <w:b/>
                <w:u w:val="single"/>
                <w:rFonts w:ascii="Times New Roman" w:hAnsi="Times New Roman"/>
              </w:rPr>
              <w:t xml:space="preserve">Visi tirdzniecības portfeļa instrumenti, kas ņemti vērā Regulas (ES) Nr. 575/2013 325.a pantā noteiktajā robežvērtībā</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0030.–0040.</w:t>
            </w:r>
          </w:p>
        </w:tc>
        <w:tc>
          <w:tcPr>
            <w:tcW w:w="7813" w:type="dxa"/>
          </w:tcPr>
          <w:p w14:paraId="63B321D7" w14:textId="77777777" w:rsidR="00A17954"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Instrumenti, kuru galvenais risku raksturojošais rādītājs ir vispārējs procentu likmju risks vai kredītriska starpības risks</w:t>
            </w:r>
          </w:p>
          <w:p w14:paraId="1768966A"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0050.–0060.</w:t>
            </w:r>
          </w:p>
        </w:tc>
        <w:tc>
          <w:tcPr>
            <w:tcW w:w="7813" w:type="dxa"/>
          </w:tcPr>
          <w:p w14:paraId="3388E222"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Instrumenti, kuru galvenais risku raksturojošais rādītājs ir kapitāla vērtspapīru risks</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0070.–0080.</w:t>
            </w:r>
          </w:p>
        </w:tc>
        <w:tc>
          <w:tcPr>
            <w:tcW w:w="7813" w:type="dxa"/>
          </w:tcPr>
          <w:p w14:paraId="1BA6993E"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Instrumenti, kuru galvenais risku raksturojošais rādītājs ir ārvalstu valūtas risks</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0090.–0100.</w:t>
            </w:r>
          </w:p>
        </w:tc>
        <w:tc>
          <w:tcPr>
            <w:tcW w:w="7813" w:type="dxa"/>
          </w:tcPr>
          <w:p w14:paraId="0DBB7B5D"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Instrumenti, kuru galvenais risku raksturojošais rādītājs ir preču risks</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0110.–0120.</w:t>
            </w:r>
          </w:p>
        </w:tc>
        <w:tc>
          <w:tcPr>
            <w:tcW w:w="7813" w:type="dxa"/>
            <w:vAlign w:val="bottom"/>
          </w:tcPr>
          <w:p w14:paraId="05743526" w14:textId="39B8C6D0" w:rsidR="00A17954" w:rsidRPr="00037E7B" w:rsidRDefault="00D35757" w:rsidP="00A17954">
            <w:pPr>
              <w:pStyle w:val="BodyText"/>
              <w:spacing w:before="120" w:after="120"/>
              <w:rPr>
                <w:b/>
                <w:u w:val="single"/>
                <w:rFonts w:ascii="Times New Roman" w:hAnsi="Times New Roman" w:cs="Times New Roman"/>
              </w:rPr>
            </w:pPr>
            <w:r>
              <w:rPr>
                <w:b/>
                <w:u w:val="single"/>
                <w:rFonts w:ascii="Times New Roman" w:hAnsi="Times New Roman"/>
              </w:rPr>
              <w:t xml:space="preserve">Citi tirdzniecības portfeļa instrumenti, tostarp: instrumenti, kuru galvenais risku raksturojošais faktors ir atlikušais risks</w:t>
            </w:r>
          </w:p>
          <w:p w14:paraId="49050F01" w14:textId="0520CC26" w:rsidR="009B2CA6" w:rsidRPr="00723BA8" w:rsidRDefault="00D35757">
            <w:pPr>
              <w:pStyle w:val="BodyText"/>
              <w:spacing w:before="120" w:after="120"/>
              <w:rPr>
                <w:rFonts w:hint="eastAsia"/>
              </w:rPr>
            </w:pPr>
            <w:r>
              <w:t xml:space="preserve">Iestādes šajās rindās uzrāda visus instrumentus, kas iedalīti tirdzniecības portfelī, kura galvenais risku raksturojošais rādītājs nav viens no 0030.–0100. rindā minētajiem risku raksturojošajiem rādītājiem.</w:t>
            </w:r>
            <w:r>
              <w:t xml:space="preserve"> </w:t>
            </w:r>
            <w:r>
              <w:t xml:space="preserve">Šajās rindās iekļauj vismaz tos instrumentus, kuru galvenais risku raksturojošais rādītājs ir atlikušie riski.</w:t>
            </w:r>
            <w:r>
              <w:t xml:space="preserve">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 xml:space="preserve">0130.–0140.</w:t>
            </w:r>
          </w:p>
        </w:tc>
        <w:tc>
          <w:tcPr>
            <w:tcW w:w="7813" w:type="dxa"/>
            <w:vAlign w:val="bottom"/>
          </w:tcPr>
          <w:p w14:paraId="48517D2E"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Izziņas postenis:</w:t>
            </w:r>
            <w:r>
              <w:rPr>
                <w:b/>
                <w:u w:val="single"/>
                <w:rFonts w:ascii="Times New Roman" w:hAnsi="Times New Roman"/>
              </w:rPr>
              <w:t xml:space="preserve"> </w:t>
            </w:r>
            <w:r>
              <w:rPr>
                <w:b/>
                <w:u w:val="single"/>
                <w:rFonts w:ascii="Times New Roman" w:hAnsi="Times New Roman"/>
              </w:rPr>
              <w:t xml:space="preserve">Instrumenti, kas saskaņā ar grāmatvedības regulējumu klasificēti kā tādi, kuriem ir tirdzniecības mērķis</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 xml:space="preserve">Regulas (ES) Nr. 575/2013 104. panta 2. punkta pirmās daļas d) apakšpunkts</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sz w:val="24"/>
          <w:rFonts w:ascii="Times New Roman" w:hAnsi="Times New Roman"/>
        </w:rPr>
        <w:t xml:space="preserve">9.3. C 24.01 - Tirdzniecības portfeļa robeža - Pārklasificēšana starp portfeļiem (</w:t>
      </w:r>
      <w:r>
        <w:rPr>
          <w:sz w:val="24"/>
          <w:i/>
          <w:iCs/>
          <w:rFonts w:ascii="Times New Roman" w:hAnsi="Times New Roman"/>
        </w:rPr>
        <w:t xml:space="preserve">MOV</w:t>
      </w:r>
      <w:r>
        <w:rPr>
          <w:sz w:val="24"/>
          <w:rFonts w:ascii="Times New Roman" w:hAnsi="Times New Roman"/>
        </w:rPr>
        <w:t xml:space="preserve">)</w:t>
      </w:r>
      <w:bookmarkEnd w:id="15"/>
    </w:p>
    <w:p w14:paraId="36E171AE"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r>
        <w:rPr>
          <w:u w:val="none"/>
          <w:sz w:val="24"/>
          <w:rFonts w:ascii="Times New Roman" w:hAnsi="Times New Roman"/>
        </w:rPr>
        <w:t xml:space="preserve">9.3.1.</w:t>
      </w:r>
      <w:r>
        <w:rPr>
          <w:u w:val="none"/>
          <w:rFonts w:ascii="Times New Roman" w:hAnsi="Times New Roman"/>
        </w:rPr>
        <w:tab/>
      </w:r>
      <w:r>
        <w:rPr>
          <w:u w:val="none"/>
          <w:sz w:val="24"/>
          <w:rFonts w:ascii="Times New Roman" w:hAnsi="Times New Roman"/>
        </w:rPr>
        <w:t xml:space="preserve">Vispārīgas piezīmes</w:t>
      </w:r>
    </w:p>
    <w:p w14:paraId="01D302B5" w14:textId="77777777" w:rsidR="00F65FA6" w:rsidRPr="00037E7B" w:rsidRDefault="00F65FA6" w:rsidP="00F65FA6">
      <w:pPr>
        <w:pStyle w:val="InstructionsText2"/>
        <w:numPr>
          <w:ilvl w:val="0"/>
          <w:numId w:val="61"/>
        </w:numPr>
        <w:spacing w:line="259" w:lineRule="auto"/>
      </w:pPr>
      <w:r>
        <w:t xml:space="preserve">Šo veidni izmanto, lai sniegtu informāciju par pozīciju pārklasificēšanu saskaņā ar Regulas (ES) Nr. 575/2013 104.a pantu.</w:t>
      </w:r>
      <w:r>
        <w:t xml:space="preserve"> </w:t>
      </w:r>
    </w:p>
    <w:p w14:paraId="171B977F" w14:textId="77777777" w:rsidR="00F65FA6" w:rsidRPr="00037E7B" w:rsidRDefault="00F65FA6" w:rsidP="00F65FA6">
      <w:pPr>
        <w:pStyle w:val="InstructionsText2"/>
        <w:numPr>
          <w:ilvl w:val="0"/>
          <w:numId w:val="61"/>
        </w:numPr>
        <w:spacing w:line="259" w:lineRule="auto"/>
      </w:pPr>
      <w:r>
        <w:t xml:space="preserve">Pārklasificēšanu šajā veidnē uzrāda tikai šādos divos gadījumos:</w:t>
      </w:r>
    </w:p>
    <w:p w14:paraId="188FB065" w14:textId="1E43754D" w:rsidR="00F65FA6" w:rsidRPr="00037E7B" w:rsidRDefault="00F65FA6" w:rsidP="00F65FA6">
      <w:pPr>
        <w:pStyle w:val="InstructionsText2"/>
        <w:numPr>
          <w:ilvl w:val="1"/>
          <w:numId w:val="61"/>
        </w:numPr>
        <w:spacing w:line="259" w:lineRule="auto"/>
      </w:pPr>
      <w:r>
        <w:t xml:space="preserve">ja kompetentā iestāde ir piešķīrusi atļauju pārklasificēt tirdzniecības portfeļa pozīciju par netirdzniecības portfeļa pozīciju vai otrādi;</w:t>
      </w:r>
    </w:p>
    <w:p w14:paraId="5B6EC138" w14:textId="25B6D89E" w:rsidR="00F65FA6" w:rsidRPr="00037E7B" w:rsidRDefault="00F65FA6" w:rsidP="00F65FA6">
      <w:pPr>
        <w:pStyle w:val="InstructionsText2"/>
        <w:numPr>
          <w:ilvl w:val="1"/>
          <w:numId w:val="61"/>
        </w:numPr>
        <w:spacing w:line="259" w:lineRule="auto"/>
      </w:pPr>
      <w:r>
        <w:t xml:space="preserve">ja pārklasificēšana atbilst Regulas (ES) Nr. 575/2013 104.a panta 6. punktā izklāstītajiem nosacījumiem un to var veikt bez kompetentās iestādes nepārprotamas atļaujas.</w:t>
      </w:r>
    </w:p>
    <w:p w14:paraId="42F779D4" w14:textId="77777777" w:rsidR="00F65FA6" w:rsidRPr="00037E7B" w:rsidRDefault="00F65FA6" w:rsidP="00F65FA6">
      <w:pPr>
        <w:pStyle w:val="InstructionsText2"/>
        <w:numPr>
          <w:ilvl w:val="0"/>
          <w:numId w:val="61"/>
        </w:numPr>
        <w:spacing w:line="259" w:lineRule="auto"/>
      </w:pPr>
      <w:r>
        <w:t xml:space="preserve">Veidnē uzrāda šādus pārklasificētus instrumentus:</w:t>
      </w:r>
    </w:p>
    <w:p w14:paraId="2B0996DA" w14:textId="3EB81158" w:rsidR="00F65FA6" w:rsidRPr="00037E7B" w:rsidRDefault="00F65FA6" w:rsidP="00F65FA6">
      <w:pPr>
        <w:pStyle w:val="InstructionsText2"/>
        <w:numPr>
          <w:ilvl w:val="1"/>
          <w:numId w:val="61"/>
        </w:numPr>
        <w:spacing w:line="259" w:lineRule="auto"/>
      </w:pPr>
      <w:r>
        <w:t xml:space="preserve">instrumenti, kas pārklasificēti tā ceturkšņa laikā, uz kuru attiecas pārskats.</w:t>
      </w:r>
      <w:r>
        <w:t xml:space="preserve"> </w:t>
      </w:r>
      <w:r>
        <w:t xml:space="preserve">Visus attiecīgā ceturkšņa laikā pārklasificētos instrumentus uzrāda veidnē neatkarīgi no tā, vai pārklasificēšanas rezultātā samazinās pašu kapitāla prasības.</w:t>
      </w:r>
      <w:r>
        <w:t xml:space="preserve"> </w:t>
      </w:r>
      <w:r>
        <w:t xml:space="preserve">Instrumentu, kas ceturkšņa laikā pārklasificēts, uzrāda pat tad, ja instrumenta atzīšana ir pārtraukta vai tā termiņš ir beidzies laikā starp pārklasificēšanas datumu un pārskata atsauces datumu;</w:t>
      </w:r>
    </w:p>
    <w:p w14:paraId="29ED050F" w14:textId="56E21CB0" w:rsidR="00F65FA6" w:rsidRPr="00037E7B" w:rsidRDefault="00F65FA6" w:rsidP="00F65FA6">
      <w:pPr>
        <w:pStyle w:val="InstructionsText2"/>
        <w:numPr>
          <w:ilvl w:val="1"/>
          <w:numId w:val="61"/>
        </w:numPr>
        <w:spacing w:line="259" w:lineRule="auto"/>
      </w:pPr>
      <w:r>
        <w:t xml:space="preserve">iepriekšējos pārskata periodos pārklasificēti instrumenti, kas joprojām piesaista pašu kapitāla prasību saskaņā ar Regulas (ES) Nr. 575/2013 104.a panta 3. punkta b) apakšpunktu pārskata atsauces datumā;</w:t>
      </w:r>
      <w:r>
        <w:t xml:space="preserve"> </w:t>
      </w:r>
    </w:p>
    <w:p w14:paraId="04E7DE74" w14:textId="0EA265BF" w:rsidR="00F65FA6" w:rsidRPr="00037E7B" w:rsidRDefault="00F65FA6" w:rsidP="00F65FA6">
      <w:pPr>
        <w:pStyle w:val="InstructionsText2"/>
        <w:numPr>
          <w:ilvl w:val="1"/>
          <w:numId w:val="61"/>
        </w:numPr>
        <w:spacing w:line="259" w:lineRule="auto"/>
      </w:pPr>
      <w:r>
        <w:t xml:space="preserve">instrumenti, kas pārklasificēti iepriekšējos pārskata periodos un kas iepriekšējā atsauces datumā piesaistījuši pašu kapitāla prasību saskaņā ar Regulas (ES) Nr. 575/2013 104.a panta 3. punkta b) apakšpunktu, ja kompetentās iestādes lēmums atļaut pašu kapitāla prasību samazinājuma atzīšanu stājas spēkā tā ceturkšņa laikā, uz kuru attiecas pārskats.</w:t>
      </w:r>
    </w:p>
    <w:p w14:paraId="4E4DBEFD" w14:textId="77777777" w:rsidR="00F65FA6" w:rsidRPr="00037E7B" w:rsidRDefault="00F65FA6" w:rsidP="00F65FA6">
      <w:pPr>
        <w:pStyle w:val="InstructionsText2"/>
        <w:numPr>
          <w:ilvl w:val="0"/>
          <w:numId w:val="61"/>
        </w:numPr>
        <w:spacing w:line="259" w:lineRule="auto"/>
      </w:pPr>
      <w:r>
        <w:t xml:space="preserve">Iestādes informāciju par pārklasificēšanu uzrāda atsevišķi par katru pārklasificēto instrumentu.</w:t>
      </w:r>
    </w:p>
    <w:p w14:paraId="17A4C841" w14:textId="77777777" w:rsidR="00F65FA6" w:rsidRPr="00037E7B" w:rsidDel="00BC604C" w:rsidRDefault="00F65FA6" w:rsidP="00F65FA6">
      <w:pPr>
        <w:pStyle w:val="InstructionsText2"/>
        <w:numPr>
          <w:ilvl w:val="0"/>
          <w:numId w:val="61"/>
        </w:numPr>
        <w:spacing w:line="259" w:lineRule="auto"/>
      </w:pPr>
      <w:r>
        <w:t xml:space="preserve">Lauku “kompensējošā grupa” izmanto, lai norādītu kompensējošo grupu, kas ietver vienību, kura turēja pozīciju attiecīgi atsauces datumā vai termiņa vai atzīšanas pārtraukšanas datumā.</w:t>
      </w:r>
      <w:r>
        <w:t xml:space="preserve"> </w:t>
      </w:r>
    </w:p>
    <w:p w14:paraId="27A31F03"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r>
        <w:rPr>
          <w:sz w:val="24"/>
          <w:u w:val="none"/>
          <w:rFonts w:ascii="Times New Roman" w:hAnsi="Times New Roman"/>
        </w:rPr>
        <w:t xml:space="preserve">9.3.2.</w:t>
      </w:r>
      <w:r>
        <w:rPr>
          <w:sz w:val="24"/>
          <w:u w:val="none"/>
          <w:rFonts w:ascii="Times New Roman" w:hAnsi="Times New Roman"/>
        </w:rPr>
        <w:tab/>
      </w:r>
      <w:r>
        <w:rPr>
          <w:sz w:val="24"/>
          <w:u w:val="none"/>
          <w:rFonts w:ascii="Times New Roman" w:hAnsi="Times New Roman"/>
        </w:rPr>
        <w:t xml:space="preserve">Norādes par konkrētām pozīcijām</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b/>
                <w:rFonts w:ascii="Times New Roman" w:hAnsi="Times New Roman" w:cs="Times New Roman"/>
              </w:rPr>
            </w:pPr>
            <w:r>
              <w:rPr>
                <w:b/>
                <w:rFonts w:ascii="Times New Roman" w:hAnsi="Times New Roman"/>
              </w:rPr>
              <w:t xml:space="preserve">Sleja</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b/>
                <w:rFonts w:ascii="Times New Roman" w:hAnsi="Times New Roman" w:cs="Times New Roman"/>
              </w:rPr>
            </w:pPr>
            <w:r>
              <w:rPr>
                <w:b/>
                <w:rFonts w:ascii="Times New Roman" w:hAnsi="Times New Roman"/>
              </w:rPr>
              <w:t xml:space="preserve">Atsauces uz tiesību aktu noteikumiem un norādījumi</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0010.</w:t>
            </w:r>
          </w:p>
        </w:tc>
        <w:tc>
          <w:tcPr>
            <w:tcW w:w="7813" w:type="dxa"/>
            <w:vAlign w:val="bottom"/>
          </w:tcPr>
          <w:p w14:paraId="11F7B8E9"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Pārklasifikācijas ID</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Iekšējais (burtciparu) kods, ko pārskatu sniedzošā sabiedrība izmanto, lai identificētu attiecīgi pārklasificēto instrumentu vai pārklasificēšanu.</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Katru pārklasificēšanu saista ar citu pārklasificēšanas ID.</w:t>
            </w:r>
            <w:r>
              <w:rPr>
                <w:rFonts w:ascii="Times New Roman" w:hAnsi="Times New Roman"/>
              </w:rPr>
              <w:t xml:space="preserve"> </w:t>
            </w:r>
            <w:r>
              <w:rPr>
                <w:rFonts w:ascii="Times New Roman" w:hAnsi="Times New Roman"/>
              </w:rPr>
              <w:t xml:space="preserve">Pārklasificēšanas ID, kas piešķirts vienai un tai pašai pārklasifikācijai, ir unikāls un tiek konsekventi izmantots laika gaitā un visos pārskatos.</w:t>
            </w:r>
          </w:p>
          <w:p w14:paraId="6DB947CE"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Šis kods ir rindas identifikators, un tas ir unikāls katrai veidnes rindai.</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0020.</w:t>
            </w:r>
          </w:p>
        </w:tc>
        <w:tc>
          <w:tcPr>
            <w:tcW w:w="7813" w:type="dxa"/>
            <w:vAlign w:val="bottom"/>
          </w:tcPr>
          <w:p w14:paraId="30229377"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Instrumenta veids</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Pārklasificētā instrumenta īss apraksts, kas ļauj izprast pārklasificētā instrumenta būtību un galvenās iezīmes.</w:t>
            </w:r>
            <w:r>
              <w:rPr>
                <w:rFonts w:ascii="Times New Roman" w:hAnsi="Times New Roman"/>
              </w:rPr>
              <w:t xml:space="preserve"> </w:t>
            </w:r>
          </w:p>
          <w:p w14:paraId="7D66558D"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Ja pārklasificētajam instrumentam ir starptautiskais vērtspapīru identifikācijas numurs (“</w:t>
            </w:r>
            <w:r>
              <w:rPr>
                <w:i/>
                <w:iCs/>
                <w:rFonts w:ascii="Times New Roman" w:hAnsi="Times New Roman"/>
              </w:rPr>
              <w:t xml:space="preserve">ISIN</w:t>
            </w:r>
            <w:r>
              <w:rPr>
                <w:rFonts w:ascii="Times New Roman" w:hAnsi="Times New Roman"/>
              </w:rPr>
              <w:t xml:space="preserve">”), aprakstā papildus instrumenta galvenajām iezīmēm iekļauj </w:t>
            </w:r>
            <w:r>
              <w:rPr>
                <w:i/>
                <w:iCs/>
                <w:rFonts w:ascii="Times New Roman" w:hAnsi="Times New Roman"/>
              </w:rPr>
              <w:t xml:space="preserve">ISIN</w:t>
            </w:r>
            <w:r>
              <w:rPr>
                <w:rFonts w:ascii="Times New Roman" w:hAnsi="Times New Roman"/>
              </w:rPr>
              <w:t xml:space="preserve">.</w:t>
            </w:r>
            <w:r>
              <w:rPr>
                <w:rFonts w:ascii="Times New Roman" w:hAnsi="Times New Roman"/>
              </w:rPr>
              <w:t xml:space="preserve">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0030.</w:t>
            </w:r>
          </w:p>
        </w:tc>
        <w:tc>
          <w:tcPr>
            <w:tcW w:w="7813" w:type="dxa"/>
            <w:vAlign w:val="bottom"/>
          </w:tcPr>
          <w:p w14:paraId="4E9993E7"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Regulatīvais portfelis, no kura instruments tika pārklasificēts</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Jāuzrāda viens no šiem diviem variantiem:</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 xml:space="preserve">Tirdzniecības portfelis</w:t>
            </w:r>
            <w:r>
              <w:rPr>
                <w:rFonts w:ascii="Times New Roman" w:hAnsi="Times New Roman"/>
              </w:rPr>
              <w:br/>
            </w:r>
            <w:r>
              <w:rPr>
                <w:rFonts w:ascii="Times New Roman" w:hAnsi="Times New Roman"/>
              </w:rPr>
              <w:t xml:space="preserve">Regulas (ES) Nr. 575/2013 4. panta 1. punkta 86) apakšpunkts;</w:t>
            </w:r>
          </w:p>
          <w:p w14:paraId="787F3457" w14:textId="77777777" w:rsidR="00F65FA6" w:rsidRPr="00037E7B" w:rsidRDefault="00F65FA6" w:rsidP="00F65FA6">
            <w:pPr>
              <w:pStyle w:val="BodyText"/>
              <w:numPr>
                <w:ilvl w:val="0"/>
                <w:numId w:val="60"/>
              </w:numPr>
              <w:spacing w:before="120" w:after="120" w:line="240" w:lineRule="auto"/>
              <w:rPr>
                <w:b/>
                <w:u w:val="single"/>
                <w:rFonts w:ascii="Times New Roman" w:hAnsi="Times New Roman" w:cs="Times New Roman"/>
              </w:rPr>
            </w:pPr>
            <w:r>
              <w:rPr>
                <w:rFonts w:ascii="Times New Roman" w:hAnsi="Times New Roman"/>
              </w:rPr>
              <w:t xml:space="preserve">bankas portfelis;</w:t>
            </w:r>
            <w:r>
              <w:rPr>
                <w:rFonts w:ascii="Times New Roman" w:hAnsi="Times New Roman"/>
              </w:rPr>
              <w:t xml:space="preserve"> </w:t>
            </w:r>
            <w:r>
              <w:rPr>
                <w:rFonts w:ascii="Times New Roman" w:hAnsi="Times New Roman"/>
              </w:rPr>
              <w:br/>
            </w:r>
            <w:r>
              <w:rPr>
                <w:rFonts w:ascii="Times New Roman" w:hAnsi="Times New Roman"/>
              </w:rPr>
              <w:t xml:space="preserve">Sastāv no visām pozīcijām, kas nav iekļautas tirdzniecības portfelī.</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0040.</w:t>
            </w:r>
          </w:p>
        </w:tc>
        <w:tc>
          <w:tcPr>
            <w:tcW w:w="7813" w:type="dxa"/>
            <w:vAlign w:val="bottom"/>
          </w:tcPr>
          <w:p w14:paraId="4C994CBE"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Regulatīvais portfelis, uz kuru instruments tika pārklasificēts</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Jāuzrāda viens no šiem diviem variantiem:</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 xml:space="preserve">Tirdzniecības portfelis</w:t>
            </w:r>
            <w:r>
              <w:rPr>
                <w:rFonts w:ascii="Times New Roman" w:hAnsi="Times New Roman"/>
              </w:rPr>
              <w:br/>
            </w:r>
            <w:r>
              <w:rPr>
                <w:rFonts w:ascii="Times New Roman" w:hAnsi="Times New Roman"/>
              </w:rPr>
              <w:t xml:space="preserve">Regulas (ES) Nr. 575/2013 4. panta 1. punkta 86) apakšpunkts;</w:t>
            </w:r>
          </w:p>
          <w:p w14:paraId="41D9486B" w14:textId="77777777" w:rsidR="00F65FA6" w:rsidRPr="00037E7B" w:rsidRDefault="00F65FA6" w:rsidP="00F65FA6">
            <w:pPr>
              <w:pStyle w:val="BodyText"/>
              <w:numPr>
                <w:ilvl w:val="0"/>
                <w:numId w:val="60"/>
              </w:numPr>
              <w:spacing w:before="120" w:after="120" w:line="240" w:lineRule="auto"/>
              <w:rPr>
                <w:b/>
                <w:u w:val="single"/>
                <w:rFonts w:ascii="Times New Roman" w:hAnsi="Times New Roman" w:cs="Times New Roman"/>
              </w:rPr>
            </w:pPr>
            <w:r>
              <w:rPr>
                <w:rFonts w:ascii="Times New Roman" w:hAnsi="Times New Roman"/>
              </w:rPr>
              <w:t xml:space="preserve">bankas portfelis;</w:t>
            </w:r>
            <w:r>
              <w:rPr>
                <w:rFonts w:ascii="Times New Roman" w:hAnsi="Times New Roman"/>
              </w:rPr>
              <w:br/>
            </w:r>
            <w:r>
              <w:rPr>
                <w:rFonts w:ascii="Times New Roman" w:hAnsi="Times New Roman"/>
              </w:rPr>
              <w:t xml:space="preserve">Sastāv no visām pozīcijām, kas nav iekļautas tirdzniecības portfelī.</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0050.</w:t>
            </w:r>
          </w:p>
        </w:tc>
        <w:tc>
          <w:tcPr>
            <w:tcW w:w="7813" w:type="dxa"/>
            <w:vAlign w:val="bottom"/>
          </w:tcPr>
          <w:p w14:paraId="19E4E9E2"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Pārklasifikācijas iemesls</w:t>
            </w:r>
          </w:p>
          <w:p w14:paraId="7DED50F3"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Izskaidro ārkārtas apstākļus, kuru dēļ pozīcija tiek pārklasificēta starp regulatīvajiem portfeļiem.</w:t>
            </w:r>
            <w:r>
              <w:rPr>
                <w:rFonts w:ascii="Times New Roman" w:hAnsi="Times New Roman"/>
              </w:rPr>
              <w:t xml:space="preserve"> </w:t>
            </w:r>
            <w:r>
              <w:rPr>
                <w:rFonts w:ascii="Times New Roman" w:hAnsi="Times New Roman"/>
              </w:rPr>
              <w:t xml:space="preserve">Šajā šūnā sniegtais paskaidrojums ir pietiekami detalizēts, lai pamatotu, kāpēc pārklasificēšana tiek uzskatīta par ārkārtas apstākli.</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0060.</w:t>
            </w:r>
          </w:p>
        </w:tc>
        <w:tc>
          <w:tcPr>
            <w:tcW w:w="7813" w:type="dxa"/>
            <w:vAlign w:val="bottom"/>
          </w:tcPr>
          <w:p w14:paraId="1362F39C"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Iepriekšēja atļauja (statuss)</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Regulas (ES) Nr. 575/2013 104.a panta 2.  un 6. punkts.</w:t>
            </w:r>
          </w:p>
          <w:p w14:paraId="65D8CB7E"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Ja nav vajadzīga kompetentās iestādes iepriekšēja atļauja saskaņā ar Regulas (ES) Nr. 575/2013 104.a panta 6. punktu, iestādes šajā slejā norāda “iepriekšēja atļauja nav vajadzīga”.</w:t>
            </w:r>
            <w:r>
              <w:rPr>
                <w:rFonts w:ascii="Times New Roman" w:hAnsi="Times New Roman"/>
              </w:rPr>
              <w:t xml:space="preserve"> </w:t>
            </w:r>
            <w:r>
              <w:rPr>
                <w:rFonts w:ascii="Times New Roman" w:hAnsi="Times New Roman"/>
              </w:rPr>
              <w:t xml:space="preserve">Ja ir vajadzīga iepriekšēja atļauja un tā ir saņemta, norāda “Saņemta iepriekšēja atļauja”.</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0070.</w:t>
            </w:r>
          </w:p>
        </w:tc>
        <w:tc>
          <w:tcPr>
            <w:tcW w:w="7813" w:type="dxa"/>
            <w:vAlign w:val="bottom"/>
          </w:tcPr>
          <w:p w14:paraId="21A070A6"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Reklasifikācijas datums</w:t>
            </w:r>
          </w:p>
          <w:p w14:paraId="230E5C22"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Regulas (ES) Nr. 575/2013 104.a panta 2.  un 6. punkta pirmais teikums.</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0080.</w:t>
            </w:r>
          </w:p>
        </w:tc>
        <w:tc>
          <w:tcPr>
            <w:tcW w:w="7813" w:type="dxa"/>
            <w:vAlign w:val="bottom"/>
          </w:tcPr>
          <w:p w14:paraId="1822A08F"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Pašu kapitāla prasību neto (+) palielinājums vai (–) samazinājums, kas izriet no pārklasifikācijas</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Neto izmaiņas pašu kapitāla prasību summā, kas izriet no pozīcijas pārklasificēšanas un aprēķinātas saskaņā ar Regulas (ES) Nr. 575/2013 104.a panta 4. punktu.</w:t>
            </w:r>
          </w:p>
          <w:p w14:paraId="6BA75988"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Pašu kapitāla prasību palielinājumu, kas izriet no pārklasifikācijas, uzrāda ar plusa zīmi (+), savukārt pašu kapitāla prasību samazinājumu uzrāda ar negatīvu (–) zīmi.</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0090.</w:t>
            </w:r>
          </w:p>
        </w:tc>
        <w:tc>
          <w:tcPr>
            <w:tcW w:w="7813" w:type="dxa"/>
            <w:vAlign w:val="bottom"/>
          </w:tcPr>
          <w:p w14:paraId="4A786750"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Papildinājums pašu kapitāla prasībām saistībā ar pārklasificēšanu</w:t>
            </w:r>
            <w:r>
              <w:rPr>
                <w:b/>
                <w:u w:val="single"/>
                <w:rFonts w:ascii="Times New Roman" w:hAnsi="Times New Roman"/>
              </w:rPr>
              <w:t xml:space="preserve">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Ja neto izmaiņas pašu kapitāla prasību summā, kas izriet no pozīcijas pārklasificēšanas, kā aprēķināts saskaņā ar Regulas (ES) Nr. 575/2013 104.a panta 4. punktu, atspoguļo iestādes pašu kapitāla prasību samazinājumu un kompetentā iestāde nav atļāvusi atzīt minēto samazinājumu saskaņā ar Regulas (ES) Nr. 575/2013 104.a panta 3. punkta b) apakšpunktu, samazinājuma summu uzrāda ar pozitīvu zīmi. Līdz ar to summa atspoguļo palielinājumu pašu kapitāla prasībām attiecībā uz konkrēto pārklasificēšanu.</w:t>
            </w:r>
          </w:p>
          <w:p w14:paraId="58E348B5"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Ja kompetentajai iestādei ir atļauts atzīt pašu kapitāla prasību samazinājumu saskaņā ar Regulas (ES) Nr. 575/2013 104.a panta 3. punkta b) apakšpunktu, šo sleju atstāj tukšu.</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0100.</w:t>
            </w:r>
          </w:p>
        </w:tc>
        <w:tc>
          <w:tcPr>
            <w:tcW w:w="7813" w:type="dxa"/>
            <w:vAlign w:val="bottom"/>
          </w:tcPr>
          <w:p w14:paraId="5C674A5B"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Instrumenta termiņa vai paredzētās atzīšanas pārtraukšanas datums</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Ja atzīšanas pārtraukšana nav paredzēta, uzrāda instrumenta termiņu.</w:t>
            </w:r>
            <w:r>
              <w:rPr>
                <w:rFonts w:ascii="Times New Roman" w:hAnsi="Times New Roman"/>
              </w:rPr>
              <w:t xml:space="preserve">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Ja ir paredzēts pārtraukt instrumenta atzīšanu pirms tā termiņa beigām, uzrāda minētās paredzētās atzīšanas pārtraukšanas datumu.</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Ja ir zināms tikai termiņa vai atzīšanas pārtraukšanas mēnesis un gads, instrumenta termiņa vai paredzētās atzīšanas pārtraukšanas datumu uzrāda kā mēneša pēdējo dienu.</w:t>
            </w:r>
            <w:r>
              <w:rPr>
                <w:rFonts w:ascii="Times New Roman" w:hAnsi="Times New Roman"/>
              </w:rPr>
              <w:t xml:space="preserve"> </w:t>
            </w:r>
            <w:r>
              <w:rPr>
                <w:rFonts w:ascii="Times New Roman" w:hAnsi="Times New Roman"/>
              </w:rPr>
              <w:t xml:space="preserve">Ja ir zināms tikai atzīšanas pārtraukšanas gads, termiņu vai paredzēto atzīšanas pārtraukšanu uzrāda attiecīgā gada 31. decembrī.</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Ja instrumenta termiņa vai paredzētās atzīšanas pārtraukšanas datumu nevar noteikt vai tas nav zināms, šajā slejā norāda – 9999. gada 31. decembris.</w:t>
            </w:r>
            <w:r>
              <w:rPr>
                <w:rFonts w:ascii="Times New Roman" w:hAnsi="Times New Roman"/>
              </w:rPr>
              <w:t xml:space="preserve">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0110.</w:t>
            </w:r>
          </w:p>
        </w:tc>
        <w:tc>
          <w:tcPr>
            <w:tcW w:w="7813" w:type="dxa"/>
            <w:vAlign w:val="bottom"/>
          </w:tcPr>
          <w:p w14:paraId="441DE526"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Datums, no kura kompetentā iestāde atļauj atzīt pašu kapitāla prasību samazinājumu</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Regulas (ES) Nr. 575/2013 104.a panta 3. punkta b) apakšpunkts.</w:t>
            </w:r>
          </w:p>
          <w:p w14:paraId="1B724794" w14:textId="77777777" w:rsidR="00F65FA6" w:rsidRPr="00FE3C59"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Ja pārklasificēšanas rezultātā ir radies pašu kapitāla prasību neto pieaugums un ja kompetentā iestāde nav atļāvusi atzīt pašu kapitāla prasību samazinājumu, datumu nenorāda.”</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I oficiālai lietošanai"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I oficiālai lietošanai"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I oficiālai lietošanai"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lv-LV"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v-LV"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v-LV"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v-LV"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v-LV"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lv-LV"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v-LV"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v-LV"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v-LV"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v-LV"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v-LV"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lv-LV"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lv-LV"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lv-LV"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lv-LV"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lv-LV"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lv-LV"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lv-LV"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lv-LV"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lv-LV"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lv-LV"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lv-LV"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lv-LV"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lv-LV"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lv-LV"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lv-LV"/>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lv-LV"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lv-LV"/>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lv-LV"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16EE9D-E36A-4D24-9691-45D586BBC68E}"/>
</file>

<file path=customXml/itemProps2.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2619</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dcterms:created xsi:type="dcterms:W3CDTF">2024-06-19T18:09:00Z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